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0E74" w14:textId="77777777" w:rsidR="0060773E" w:rsidRDefault="0060773E" w:rsidP="0060773E">
      <w:pPr>
        <w:pStyle w:val="Titolo1"/>
        <w:spacing w:before="225" w:beforeAutospacing="0" w:after="225" w:afterAutospacing="0" w:line="480" w:lineRule="atLeast"/>
        <w:rPr>
          <w:rFonts w:ascii="Montserrat" w:hAnsi="Montserrat"/>
          <w:b w:val="0"/>
          <w:bCs w:val="0"/>
          <w:color w:val="292929"/>
          <w:sz w:val="45"/>
          <w:szCs w:val="45"/>
        </w:rPr>
      </w:pPr>
      <w:r>
        <w:rPr>
          <w:rFonts w:ascii="Montserrat" w:hAnsi="Montserrat"/>
          <w:b w:val="0"/>
          <w:bCs w:val="0"/>
          <w:color w:val="292929"/>
          <w:sz w:val="45"/>
          <w:szCs w:val="45"/>
        </w:rPr>
        <w:t xml:space="preserve">Contributi a fondo perduto per le </w:t>
      </w:r>
      <w:proofErr w:type="spellStart"/>
      <w:r>
        <w:rPr>
          <w:rFonts w:ascii="Montserrat" w:hAnsi="Montserrat"/>
          <w:b w:val="0"/>
          <w:bCs w:val="0"/>
          <w:color w:val="292929"/>
          <w:sz w:val="45"/>
          <w:szCs w:val="45"/>
        </w:rPr>
        <w:t>Pmi</w:t>
      </w:r>
      <w:proofErr w:type="spellEnd"/>
      <w:r>
        <w:rPr>
          <w:rFonts w:ascii="Montserrat" w:hAnsi="Montserrat"/>
          <w:b w:val="0"/>
          <w:bCs w:val="0"/>
          <w:color w:val="292929"/>
          <w:sz w:val="45"/>
          <w:szCs w:val="45"/>
        </w:rPr>
        <w:t xml:space="preserve"> agricole che innovano i sistemi produttivi</w:t>
      </w:r>
    </w:p>
    <w:p w14:paraId="48D54012" w14:textId="48C7CC2F" w:rsidR="0060773E" w:rsidRDefault="0060773E" w:rsidP="0060773E">
      <w:pPr>
        <w:rPr>
          <w:rFonts w:ascii="Roboto" w:hAnsi="Roboto"/>
          <w:color w:val="454545"/>
          <w:sz w:val="18"/>
          <w:szCs w:val="18"/>
        </w:rPr>
      </w:pPr>
    </w:p>
    <w:p w14:paraId="3807DAC4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L’agricoltura 4.0</w:t>
      </w:r>
      <w:r>
        <w:rPr>
          <w:rFonts w:ascii="Roboto" w:hAnsi="Roboto"/>
          <w:color w:val="454545"/>
        </w:rPr>
        <w:t> si fa sempre più appetibile </w:t>
      </w:r>
      <w:r>
        <w:rPr>
          <w:rStyle w:val="Enfasigrassetto"/>
          <w:rFonts w:ascii="Roboto" w:hAnsi="Roboto"/>
          <w:color w:val="454545"/>
        </w:rPr>
        <w:t xml:space="preserve">per le </w:t>
      </w:r>
      <w:proofErr w:type="spellStart"/>
      <w:r>
        <w:rPr>
          <w:rStyle w:val="Enfasigrassetto"/>
          <w:rFonts w:ascii="Roboto" w:hAnsi="Roboto"/>
          <w:color w:val="454545"/>
        </w:rPr>
        <w:t>Pmi</w:t>
      </w:r>
      <w:proofErr w:type="spellEnd"/>
      <w:r>
        <w:rPr>
          <w:rStyle w:val="Enfasigrassetto"/>
          <w:rFonts w:ascii="Roboto" w:hAnsi="Roboto"/>
          <w:color w:val="454545"/>
        </w:rPr>
        <w:t xml:space="preserve"> agricole.</w:t>
      </w:r>
    </w:p>
    <w:p w14:paraId="20605E15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Con la pubblicazione del </w:t>
      </w:r>
      <w:r>
        <w:rPr>
          <w:rStyle w:val="Enfasigrassetto"/>
          <w:rFonts w:ascii="Roboto" w:hAnsi="Roboto"/>
          <w:color w:val="454545"/>
        </w:rPr>
        <w:t>D.M. 30.07.2021</w:t>
      </w:r>
      <w:r>
        <w:rPr>
          <w:rFonts w:ascii="Roboto" w:hAnsi="Roboto"/>
          <w:color w:val="454545"/>
        </w:rPr>
        <w:t> nella </w:t>
      </w:r>
      <w:r>
        <w:rPr>
          <w:rStyle w:val="Enfasigrassetto"/>
          <w:rFonts w:ascii="Roboto" w:hAnsi="Roboto"/>
          <w:color w:val="454545"/>
        </w:rPr>
        <w:t>Gazzetta Ufficiale serie generale n. 246 del 14.10.2021</w:t>
      </w:r>
      <w:r>
        <w:rPr>
          <w:rFonts w:ascii="Roboto" w:hAnsi="Roboto"/>
          <w:color w:val="454545"/>
        </w:rPr>
        <w:t> è stato </w:t>
      </w:r>
      <w:r>
        <w:rPr>
          <w:rStyle w:val="Enfasigrassetto"/>
          <w:rFonts w:ascii="Roboto" w:hAnsi="Roboto"/>
          <w:color w:val="454545"/>
        </w:rPr>
        <w:t>attivato il fondo per gli investimenti innovativi delle imprese agricole</w:t>
      </w:r>
      <w:r>
        <w:rPr>
          <w:rFonts w:ascii="Roboto" w:hAnsi="Roboto"/>
          <w:color w:val="454545"/>
        </w:rPr>
        <w:t> istituito dall’</w:t>
      </w:r>
      <w:hyperlink r:id="rId8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articolo 1, comma 123, L. 160/2019</w:t>
        </w:r>
      </w:hyperlink>
      <w:r>
        <w:rPr>
          <w:rFonts w:ascii="Roboto" w:hAnsi="Roboto"/>
          <w:color w:val="454545"/>
        </w:rPr>
        <w:t> (c.d. </w:t>
      </w:r>
      <w:r>
        <w:rPr>
          <w:rStyle w:val="Enfasigrassetto"/>
          <w:rFonts w:ascii="Roboto" w:hAnsi="Roboto"/>
          <w:color w:val="454545"/>
        </w:rPr>
        <w:t>Legge di Bilancio 2020</w:t>
      </w:r>
      <w:r>
        <w:rPr>
          <w:rFonts w:ascii="Roboto" w:hAnsi="Roboto"/>
          <w:color w:val="454545"/>
        </w:rPr>
        <w:t>) con una </w:t>
      </w:r>
      <w:r>
        <w:rPr>
          <w:rStyle w:val="Enfasigrassetto"/>
          <w:rFonts w:ascii="Roboto" w:hAnsi="Roboto"/>
          <w:color w:val="454545"/>
        </w:rPr>
        <w:t>dotazione di 5 milioni di euro</w:t>
      </w:r>
      <w:r>
        <w:rPr>
          <w:rFonts w:ascii="Roboto" w:hAnsi="Roboto"/>
          <w:color w:val="454545"/>
        </w:rPr>
        <w:t>.</w:t>
      </w:r>
    </w:p>
    <w:p w14:paraId="2C060D0B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L’</w:t>
      </w:r>
      <w:r>
        <w:rPr>
          <w:rStyle w:val="Enfasicorsivo"/>
          <w:rFonts w:ascii="Roboto" w:hAnsi="Roboto"/>
          <w:color w:val="454545"/>
        </w:rPr>
        <w:t>appeal</w:t>
      </w:r>
      <w:r>
        <w:rPr>
          <w:rFonts w:ascii="Roboto" w:hAnsi="Roboto"/>
          <w:color w:val="454545"/>
        </w:rPr>
        <w:t> della misura agevolativa, che prevede la concessione di </w:t>
      </w:r>
      <w:r>
        <w:rPr>
          <w:rStyle w:val="Enfasigrassetto"/>
          <w:rFonts w:ascii="Roboto" w:hAnsi="Roboto"/>
          <w:color w:val="454545"/>
        </w:rPr>
        <w:t>contributi a fondo perduto, entro un limite di 20.000 euro a beneficiario, in misura variabile tra il 30% e il 40% delle spese ammissibili sostenute</w:t>
      </w:r>
      <w:r>
        <w:rPr>
          <w:rFonts w:ascii="Roboto" w:hAnsi="Roboto"/>
          <w:color w:val="454545"/>
        </w:rPr>
        <w:t>, è legato in particolare alla </w:t>
      </w:r>
      <w:r>
        <w:rPr>
          <w:rStyle w:val="Enfasigrassetto"/>
          <w:rFonts w:ascii="Roboto" w:hAnsi="Roboto"/>
          <w:color w:val="454545"/>
        </w:rPr>
        <w:t>possibilità di cumulo con altri aiuti di Stato</w:t>
      </w:r>
      <w:r>
        <w:rPr>
          <w:rFonts w:ascii="Roboto" w:hAnsi="Roboto"/>
          <w:color w:val="454545"/>
        </w:rPr>
        <w:t>, anche in regime “</w:t>
      </w:r>
      <w:r>
        <w:rPr>
          <w:rStyle w:val="Enfasicorsivo"/>
          <w:rFonts w:ascii="Roboto" w:hAnsi="Roboto"/>
          <w:color w:val="454545"/>
        </w:rPr>
        <w:t xml:space="preserve">de </w:t>
      </w:r>
      <w:proofErr w:type="spellStart"/>
      <w:r>
        <w:rPr>
          <w:rStyle w:val="Enfasicorsivo"/>
          <w:rFonts w:ascii="Roboto" w:hAnsi="Roboto"/>
          <w:color w:val="454545"/>
        </w:rPr>
        <w:t>minimis</w:t>
      </w:r>
      <w:proofErr w:type="spellEnd"/>
      <w:r>
        <w:rPr>
          <w:rFonts w:ascii="Roboto" w:hAnsi="Roboto"/>
          <w:color w:val="454545"/>
        </w:rPr>
        <w:t>” nei limiti dell’</w:t>
      </w:r>
      <w:hyperlink r:id="rId9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articolo 8 del Regolamento (UE) n. 702/2014</w:t>
        </w:r>
      </w:hyperlink>
      <w:r>
        <w:rPr>
          <w:rStyle w:val="Enfasigrassetto"/>
          <w:rFonts w:ascii="Roboto" w:hAnsi="Roboto"/>
          <w:color w:val="454545"/>
        </w:rPr>
        <w:t> </w:t>
      </w:r>
      <w:r>
        <w:rPr>
          <w:rFonts w:ascii="Roboto" w:hAnsi="Roboto"/>
          <w:color w:val="454545"/>
        </w:rPr>
        <w:t>(c.d. Regolamento ABER).</w:t>
      </w:r>
    </w:p>
    <w:p w14:paraId="7F2F286C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 xml:space="preserve">L’agevolazione è rivolta alle </w:t>
      </w:r>
      <w:proofErr w:type="spellStart"/>
      <w:r>
        <w:rPr>
          <w:rStyle w:val="Enfasigrassetto"/>
          <w:rFonts w:ascii="Roboto" w:hAnsi="Roboto"/>
          <w:color w:val="454545"/>
        </w:rPr>
        <w:t>Pmi</w:t>
      </w:r>
      <w:proofErr w:type="spellEnd"/>
      <w:r>
        <w:rPr>
          <w:rStyle w:val="Enfasigrassetto"/>
          <w:rFonts w:ascii="Roboto" w:hAnsi="Roboto"/>
          <w:color w:val="454545"/>
        </w:rPr>
        <w:t xml:space="preserve"> agricole</w:t>
      </w:r>
      <w:r>
        <w:rPr>
          <w:rFonts w:ascii="Roboto" w:hAnsi="Roboto"/>
          <w:color w:val="454545"/>
        </w:rPr>
        <w:t>, secondo la classificazione dimensionale dell’allegato A al Regolamento ABER, attive </w:t>
      </w:r>
      <w:r>
        <w:rPr>
          <w:rStyle w:val="Enfasigrassetto"/>
          <w:rFonts w:ascii="Roboto" w:hAnsi="Roboto"/>
          <w:color w:val="454545"/>
        </w:rPr>
        <w:t>nel settore della produzione primaria, della trasformazione e commercializzazione di prodotti agricol</w:t>
      </w:r>
      <w:r>
        <w:rPr>
          <w:rFonts w:ascii="Roboto" w:hAnsi="Roboto"/>
          <w:color w:val="454545"/>
        </w:rPr>
        <w:t>i e aventi sede legale o un’unità locale ubicata in Italia.</w:t>
      </w:r>
    </w:p>
    <w:p w14:paraId="4F2EB7BC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Gli investimenti agevolabili consistono nelle </w:t>
      </w:r>
      <w:r>
        <w:rPr>
          <w:rStyle w:val="Enfasigrassetto"/>
          <w:rFonts w:ascii="Roboto" w:hAnsi="Roboto"/>
          <w:color w:val="454545"/>
        </w:rPr>
        <w:t>spese di acquisto in proprietà e installazione</w:t>
      </w:r>
      <w:r>
        <w:rPr>
          <w:rFonts w:ascii="Roboto" w:hAnsi="Roboto"/>
          <w:color w:val="454545"/>
        </w:rPr>
        <w:t> di </w:t>
      </w:r>
      <w:r>
        <w:rPr>
          <w:rStyle w:val="Enfasigrassetto"/>
          <w:rFonts w:ascii="Roboto" w:hAnsi="Roboto"/>
          <w:color w:val="454545"/>
        </w:rPr>
        <w:t>beni materiali e immateriali strumentali nuovi, localizzati presso la sede legale o l’unità locale italiana, inerenti alla trasformazione e commercializzazione di prodotti agricoli </w:t>
      </w:r>
      <w:r>
        <w:rPr>
          <w:rFonts w:ascii="Roboto" w:hAnsi="Roboto"/>
          <w:color w:val="454545"/>
        </w:rPr>
        <w:t>e caratterizzati da</w:t>
      </w:r>
      <w:r>
        <w:rPr>
          <w:rStyle w:val="Enfasigrassetto"/>
          <w:rFonts w:ascii="Roboto" w:hAnsi="Roboto"/>
          <w:color w:val="454545"/>
        </w:rPr>
        <w:t> autonomia funzionale </w:t>
      </w:r>
      <w:r>
        <w:rPr>
          <w:rFonts w:ascii="Roboto" w:hAnsi="Roboto"/>
          <w:color w:val="454545"/>
        </w:rPr>
        <w:t>o, in caso di moduli integrativi di impianti preesistenti,</w:t>
      </w:r>
      <w:r>
        <w:rPr>
          <w:rStyle w:val="Enfasigrassetto"/>
          <w:rFonts w:ascii="Roboto" w:hAnsi="Roboto"/>
          <w:color w:val="454545"/>
        </w:rPr>
        <w:t> dall’introduzione di inedite funzionalità nel ciclo produttivo dell’impresa</w:t>
      </w:r>
      <w:r>
        <w:rPr>
          <w:rFonts w:ascii="Roboto" w:hAnsi="Roboto"/>
          <w:color w:val="454545"/>
        </w:rPr>
        <w:t>.</w:t>
      </w:r>
    </w:p>
    <w:p w14:paraId="4E4B94EB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Nel dettaglio gli investimenti agevolabili afferiscono ai seguenti beni:</w:t>
      </w:r>
    </w:p>
    <w:p w14:paraId="449CCB3F" w14:textId="77777777" w:rsidR="0060773E" w:rsidRDefault="0060773E" w:rsidP="0060773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beni materiali strumentali ordinari</w:t>
      </w:r>
      <w:r>
        <w:rPr>
          <w:rFonts w:ascii="Roboto" w:hAnsi="Roboto"/>
          <w:color w:val="454545"/>
        </w:rPr>
        <w:t>, con riconoscimento di un contributo a fondo perduto del 30%;</w:t>
      </w:r>
    </w:p>
    <w:p w14:paraId="4E2DFB7D" w14:textId="77777777" w:rsidR="0060773E" w:rsidRDefault="0060773E" w:rsidP="0060773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beni materiali strumentali 4.0,</w:t>
      </w:r>
      <w:r>
        <w:rPr>
          <w:rFonts w:ascii="Roboto" w:hAnsi="Roboto"/>
          <w:color w:val="454545"/>
        </w:rPr>
        <w:t> compresi nell’</w:t>
      </w:r>
      <w:hyperlink r:id="rId10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allegato A</w:t>
        </w:r>
      </w:hyperlink>
      <w:r>
        <w:rPr>
          <w:rFonts w:ascii="Roboto" w:hAnsi="Roboto"/>
          <w:color w:val="454545"/>
        </w:rPr>
        <w:t> annesso alla L. 232/2016 (c.d. Legge di Bilancio 2017) e riportati nell’allegato 1 del D.M., con riconoscimento di un contributo a fondo perduto del 40%;</w:t>
      </w:r>
    </w:p>
    <w:p w14:paraId="5515CED0" w14:textId="77777777" w:rsidR="0060773E" w:rsidRDefault="0060773E" w:rsidP="0060773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beni immateriali strumentali 4.0</w:t>
      </w:r>
      <w:r>
        <w:rPr>
          <w:rFonts w:ascii="Roboto" w:hAnsi="Roboto"/>
          <w:color w:val="454545"/>
        </w:rPr>
        <w:t> (</w:t>
      </w:r>
      <w:r>
        <w:rPr>
          <w:rStyle w:val="Enfasigrassetto"/>
          <w:rFonts w:ascii="Roboto" w:hAnsi="Roboto"/>
          <w:color w:val="454545"/>
        </w:rPr>
        <w:t>software, sistemi, piattaforme e applicazioni</w:t>
      </w:r>
      <w:r>
        <w:rPr>
          <w:rFonts w:ascii="Roboto" w:hAnsi="Roboto"/>
          <w:color w:val="454545"/>
        </w:rPr>
        <w:t>), compresi nell’</w:t>
      </w:r>
      <w:hyperlink r:id="rId11" w:tgtFrame="_blank" w:history="1">
        <w:r>
          <w:rPr>
            <w:rStyle w:val="Collegamentoipertestuale"/>
            <w:rFonts w:ascii="Roboto" w:hAnsi="Roboto"/>
            <w:b/>
            <w:bCs/>
            <w:color w:val="006CBA"/>
          </w:rPr>
          <w:t>allegato B</w:t>
        </w:r>
      </w:hyperlink>
      <w:r>
        <w:rPr>
          <w:rFonts w:ascii="Roboto" w:hAnsi="Roboto"/>
          <w:color w:val="454545"/>
        </w:rPr>
        <w:t> annesso alla L. 232/2016 (c.d. Legge di Bilancio 2017) e riportati nell’allegato 2 del D.M., con riconoscimento di un contributo a fondo perduto del 40%.</w:t>
      </w:r>
    </w:p>
    <w:p w14:paraId="40ABEAB0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lastRenderedPageBreak/>
        <w:t>Per non incorrere in casi di </w:t>
      </w:r>
      <w:r>
        <w:rPr>
          <w:rStyle w:val="Enfasigrassetto"/>
          <w:rFonts w:ascii="Roboto" w:hAnsi="Roboto"/>
          <w:color w:val="454545"/>
        </w:rPr>
        <w:t>inammissibilità</w:t>
      </w:r>
      <w:r>
        <w:rPr>
          <w:rFonts w:ascii="Roboto" w:hAnsi="Roboto"/>
          <w:color w:val="454545"/>
        </w:rPr>
        <w:t> delle spese o di successiva revoca dell’agevolazione concessa è bene tenere in considerazione i seguenti </w:t>
      </w:r>
      <w:r>
        <w:rPr>
          <w:rStyle w:val="Enfasigrassetto"/>
          <w:rFonts w:ascii="Roboto" w:hAnsi="Roboto"/>
          <w:color w:val="454545"/>
        </w:rPr>
        <w:t>limiti</w:t>
      </w:r>
      <w:r>
        <w:rPr>
          <w:rFonts w:ascii="Roboto" w:hAnsi="Roboto"/>
          <w:color w:val="454545"/>
        </w:rPr>
        <w:t>:</w:t>
      </w:r>
    </w:p>
    <w:p w14:paraId="1E5735B6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gli acquisiti devono essere effettuati </w:t>
      </w:r>
      <w:r>
        <w:rPr>
          <w:rStyle w:val="Enfasigrassetto"/>
          <w:rFonts w:ascii="Roboto" w:hAnsi="Roboto"/>
          <w:color w:val="454545"/>
        </w:rPr>
        <w:t>da soggetti terzi privi di relazioni con l’impresa e a normali condizioni di mercato;</w:t>
      </w:r>
    </w:p>
    <w:p w14:paraId="12B43D71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non è ammissibile l’acquisizione in locazione finanziaria</w:t>
      </w:r>
      <w:r>
        <w:rPr>
          <w:rFonts w:ascii="Roboto" w:hAnsi="Roboto"/>
          <w:color w:val="454545"/>
        </w:rPr>
        <w:t>;</w:t>
      </w:r>
    </w:p>
    <w:p w14:paraId="27A5E5FA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non sono ammessi investimenti in beni usati;</w:t>
      </w:r>
    </w:p>
    <w:p w14:paraId="22747E11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non sono ammessi </w:t>
      </w:r>
      <w:r>
        <w:rPr>
          <w:rFonts w:ascii="Roboto" w:hAnsi="Roboto"/>
          <w:color w:val="454545"/>
        </w:rPr>
        <w:t>investimenti in </w:t>
      </w:r>
      <w:r>
        <w:rPr>
          <w:rStyle w:val="Enfasigrassetto"/>
          <w:rFonts w:ascii="Roboto" w:hAnsi="Roboto"/>
          <w:color w:val="454545"/>
        </w:rPr>
        <w:t>beni di costo unitario inferiore a 500 euro</w:t>
      </w:r>
      <w:r>
        <w:rPr>
          <w:rFonts w:ascii="Roboto" w:hAnsi="Roboto"/>
          <w:color w:val="454545"/>
        </w:rPr>
        <w:t>;</w:t>
      </w:r>
    </w:p>
    <w:p w14:paraId="6A150846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le spese ammissibili </w:t>
      </w:r>
      <w:r>
        <w:rPr>
          <w:rFonts w:ascii="Roboto" w:hAnsi="Roboto"/>
          <w:color w:val="454545"/>
        </w:rPr>
        <w:t>devono complessivamente ammontare a un</w:t>
      </w:r>
      <w:r>
        <w:rPr>
          <w:rStyle w:val="Enfasigrassetto"/>
          <w:rFonts w:ascii="Roboto" w:hAnsi="Roboto"/>
          <w:color w:val="454545"/>
        </w:rPr>
        <w:t> importo pari almeno a 5.000 euro;</w:t>
      </w:r>
    </w:p>
    <w:p w14:paraId="43EB44D0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i pagamenti</w:t>
      </w:r>
      <w:r>
        <w:rPr>
          <w:rFonts w:ascii="Roboto" w:hAnsi="Roboto"/>
          <w:color w:val="454545"/>
        </w:rPr>
        <w:t> devono avvenire esclusivamente attraverso </w:t>
      </w:r>
      <w:r>
        <w:rPr>
          <w:rStyle w:val="Enfasigrassetto"/>
          <w:rFonts w:ascii="Roboto" w:hAnsi="Roboto"/>
          <w:color w:val="454545"/>
        </w:rPr>
        <w:t>conti correnti intestati all’impresa beneficiaria e con modalità che consentano la piena tracciabilità</w:t>
      </w:r>
      <w:r>
        <w:rPr>
          <w:rFonts w:ascii="Roboto" w:hAnsi="Roboto"/>
          <w:color w:val="454545"/>
        </w:rPr>
        <w:t> e l’immediata riconducibilità dello stesso alla relativa fattura;</w:t>
      </w:r>
    </w:p>
    <w:p w14:paraId="33BBC22B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l’investimento deve essere</w:t>
      </w:r>
      <w:r>
        <w:rPr>
          <w:rStyle w:val="Enfasigrassetto"/>
          <w:rFonts w:ascii="Roboto" w:hAnsi="Roboto"/>
          <w:color w:val="454545"/>
        </w:rPr>
        <w:t> avviato successivamente alla presentazione della domanda di contributo e perfezionato entro 12 mesi </w:t>
      </w:r>
      <w:r>
        <w:rPr>
          <w:rFonts w:ascii="Roboto" w:hAnsi="Roboto"/>
          <w:color w:val="454545"/>
        </w:rPr>
        <w:t>dalla data del provvedimento di concessione;</w:t>
      </w:r>
    </w:p>
    <w:p w14:paraId="4514C6F5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l’investimento deve essere mantenuto, </w:t>
      </w:r>
      <w:r>
        <w:rPr>
          <w:rFonts w:ascii="Roboto" w:hAnsi="Roboto"/>
          <w:color w:val="454545"/>
        </w:rPr>
        <w:t>nel territorio della Regione di ubicazione della sede legale o unità locale,</w:t>
      </w:r>
      <w:r>
        <w:rPr>
          <w:rStyle w:val="Enfasigrassetto"/>
          <w:rFonts w:ascii="Roboto" w:hAnsi="Roboto"/>
          <w:color w:val="454545"/>
        </w:rPr>
        <w:t xml:space="preserve"> per almeno </w:t>
      </w:r>
      <w:proofErr w:type="gramStart"/>
      <w:r>
        <w:rPr>
          <w:rStyle w:val="Enfasigrassetto"/>
          <w:rFonts w:ascii="Roboto" w:hAnsi="Roboto"/>
          <w:color w:val="454545"/>
        </w:rPr>
        <w:t>3</w:t>
      </w:r>
      <w:proofErr w:type="gramEnd"/>
      <w:r>
        <w:rPr>
          <w:rStyle w:val="Enfasigrassetto"/>
          <w:rFonts w:ascii="Roboto" w:hAnsi="Roboto"/>
          <w:color w:val="454545"/>
        </w:rPr>
        <w:t xml:space="preserve"> anni </w:t>
      </w:r>
      <w:r>
        <w:rPr>
          <w:rFonts w:ascii="Roboto" w:hAnsi="Roboto"/>
          <w:color w:val="454545"/>
        </w:rPr>
        <w:t>dalla data di erogazione del saldo del contributo o, se successiva, di installazione dell’ultimo bene agevolato,</w:t>
      </w:r>
      <w:r>
        <w:rPr>
          <w:rStyle w:val="Enfasigrassetto"/>
          <w:rFonts w:ascii="Roboto" w:hAnsi="Roboto"/>
          <w:color w:val="454545"/>
        </w:rPr>
        <w:t> fatti salvi i casi di sostituzione per obsolescenza o inutilizzo da comunicare al Mise;</w:t>
      </w:r>
    </w:p>
    <w:p w14:paraId="49218EF4" w14:textId="77777777" w:rsidR="0060773E" w:rsidRDefault="0060773E" w:rsidP="0060773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l’attività economica interessata dall’investimento non può essere delocalizzata </w:t>
      </w:r>
      <w:r>
        <w:rPr>
          <w:rFonts w:ascii="Roboto" w:hAnsi="Roboto"/>
          <w:color w:val="454545"/>
        </w:rPr>
        <w:t>in Stati non appartenenti all’UE, ad eccezione degli Stati dello SEE,</w:t>
      </w:r>
      <w:r>
        <w:rPr>
          <w:rStyle w:val="Enfasigrassetto"/>
          <w:rFonts w:ascii="Roboto" w:hAnsi="Roboto"/>
          <w:color w:val="454545"/>
        </w:rPr>
        <w:t xml:space="preserve"> nei successivi </w:t>
      </w:r>
      <w:proofErr w:type="gramStart"/>
      <w:r>
        <w:rPr>
          <w:rStyle w:val="Enfasigrassetto"/>
          <w:rFonts w:ascii="Roboto" w:hAnsi="Roboto"/>
          <w:color w:val="454545"/>
        </w:rPr>
        <w:t>5</w:t>
      </w:r>
      <w:proofErr w:type="gramEnd"/>
      <w:r>
        <w:rPr>
          <w:rStyle w:val="Enfasigrassetto"/>
          <w:rFonts w:ascii="Roboto" w:hAnsi="Roboto"/>
          <w:color w:val="454545"/>
        </w:rPr>
        <w:t xml:space="preserve"> anni </w:t>
      </w:r>
      <w:r>
        <w:rPr>
          <w:rFonts w:ascii="Roboto" w:hAnsi="Roboto"/>
          <w:color w:val="454545"/>
        </w:rPr>
        <w:t>dalla data di ultimazione dell’investimento.</w:t>
      </w:r>
    </w:p>
    <w:p w14:paraId="2775FA56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Fonts w:ascii="Roboto" w:hAnsi="Roboto"/>
          <w:color w:val="454545"/>
        </w:rPr>
        <w:t>I contributi verranno concessi previa</w:t>
      </w:r>
      <w:r>
        <w:rPr>
          <w:rStyle w:val="Enfasigrassetto"/>
          <w:rFonts w:ascii="Roboto" w:hAnsi="Roboto"/>
          <w:color w:val="454545"/>
        </w:rPr>
        <w:t> procedura valutativa a sportello nel rispetto dell’ordine cronologico delle domande pervenute </w:t>
      </w:r>
      <w:r>
        <w:rPr>
          <w:rFonts w:ascii="Roboto" w:hAnsi="Roboto"/>
          <w:color w:val="454545"/>
        </w:rPr>
        <w:t>e all’esito positivo della successiva fase istruttoria.</w:t>
      </w:r>
    </w:p>
    <w:p w14:paraId="74118AF5" w14:textId="77777777" w:rsidR="0060773E" w:rsidRDefault="0060773E" w:rsidP="0060773E">
      <w:pPr>
        <w:pStyle w:val="NormaleWeb"/>
        <w:spacing w:before="0" w:beforeAutospacing="0" w:after="225" w:afterAutospacing="0"/>
        <w:jc w:val="both"/>
        <w:rPr>
          <w:rFonts w:ascii="Roboto" w:hAnsi="Roboto"/>
          <w:color w:val="454545"/>
        </w:rPr>
      </w:pPr>
      <w:r>
        <w:rPr>
          <w:rStyle w:val="Enfasigrassetto"/>
          <w:rFonts w:ascii="Roboto" w:hAnsi="Roboto"/>
          <w:color w:val="454545"/>
        </w:rPr>
        <w:t>L’effettiva operatività </w:t>
      </w:r>
      <w:r>
        <w:rPr>
          <w:rFonts w:ascii="Roboto" w:hAnsi="Roboto"/>
          <w:color w:val="454545"/>
        </w:rPr>
        <w:t>della misura agevolativa resta ad oggi</w:t>
      </w:r>
      <w:r>
        <w:rPr>
          <w:rStyle w:val="Enfasigrassetto"/>
          <w:rFonts w:ascii="Roboto" w:hAnsi="Roboto"/>
          <w:color w:val="454545"/>
        </w:rPr>
        <w:t> subordinata all’emanazione del provvedimento </w:t>
      </w:r>
      <w:r>
        <w:rPr>
          <w:rFonts w:ascii="Roboto" w:hAnsi="Roboto"/>
          <w:color w:val="454545"/>
        </w:rPr>
        <w:t>del Direttore generale per gli incentivi alle imprese</w:t>
      </w:r>
      <w:r>
        <w:rPr>
          <w:rStyle w:val="Enfasigrassetto"/>
          <w:rFonts w:ascii="Roboto" w:hAnsi="Roboto"/>
          <w:color w:val="454545"/>
        </w:rPr>
        <w:t> del Mise che definirà modalità e termini di presentazione delle domande.</w:t>
      </w:r>
    </w:p>
    <w:sectPr w:rsidR="0060773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5E74" w14:textId="77777777" w:rsidR="002F7467" w:rsidRDefault="002F7467">
      <w:r>
        <w:separator/>
      </w:r>
    </w:p>
  </w:endnote>
  <w:endnote w:type="continuationSeparator" w:id="0">
    <w:p w14:paraId="442A0C30" w14:textId="77777777" w:rsidR="002F7467" w:rsidRDefault="002F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1328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52EEC477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2CF3E864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24271208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09EB7E3F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921" w14:textId="77777777" w:rsidR="002F7467" w:rsidRDefault="002F7467">
      <w:r>
        <w:separator/>
      </w:r>
    </w:p>
  </w:footnote>
  <w:footnote w:type="continuationSeparator" w:id="0">
    <w:p w14:paraId="777C81AD" w14:textId="77777777" w:rsidR="002F7467" w:rsidRDefault="002F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EACF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7EF307" wp14:editId="2B3E1FF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EF75E" w14:textId="77777777" w:rsidR="005E2050" w:rsidRDefault="005E2050">
    <w:pPr>
      <w:pStyle w:val="Intestazione"/>
    </w:pPr>
  </w:p>
  <w:p w14:paraId="2F34A7D8" w14:textId="77777777" w:rsidR="005E2050" w:rsidRDefault="005E2050">
    <w:pPr>
      <w:pStyle w:val="Intestazione"/>
    </w:pPr>
  </w:p>
  <w:p w14:paraId="1217C304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34A1371D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27CC1207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E250A"/>
    <w:multiLevelType w:val="multilevel"/>
    <w:tmpl w:val="328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64729"/>
    <w:multiLevelType w:val="multilevel"/>
    <w:tmpl w:val="6A1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099"/>
    <w:multiLevelType w:val="multilevel"/>
    <w:tmpl w:val="DB9C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0340E"/>
    <w:multiLevelType w:val="multilevel"/>
    <w:tmpl w:val="64D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13B00"/>
    <w:multiLevelType w:val="multilevel"/>
    <w:tmpl w:val="83D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4328C"/>
    <w:multiLevelType w:val="multilevel"/>
    <w:tmpl w:val="E4E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0773E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097E64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h5">
    <w:name w:val="h5"/>
    <w:basedOn w:val="Carpredefinitoparagrafo"/>
    <w:rsid w:val="0060773E"/>
  </w:style>
  <w:style w:type="character" w:customStyle="1" w:styleId="sottotitolo-post">
    <w:name w:val="sottotitolo-post"/>
    <w:basedOn w:val="Carpredefinitoparagrafo"/>
    <w:rsid w:val="0060773E"/>
  </w:style>
  <w:style w:type="character" w:customStyle="1" w:styleId="autore-post">
    <w:name w:val="autore-post"/>
    <w:basedOn w:val="Carpredefinitoparagrafo"/>
    <w:rsid w:val="0060773E"/>
  </w:style>
  <w:style w:type="character" w:styleId="Enfasicorsivo">
    <w:name w:val="Emphasis"/>
    <w:basedOn w:val="Carpredefinitoparagrafo"/>
    <w:uiPriority w:val="20"/>
    <w:qFormat/>
    <w:rsid w:val="0060773E"/>
    <w:rPr>
      <w:i/>
      <w:iCs/>
    </w:rPr>
  </w:style>
  <w:style w:type="paragraph" w:customStyle="1" w:styleId="essbitem">
    <w:name w:val="essb_item"/>
    <w:basedOn w:val="Normale"/>
    <w:rsid w:val="0060773E"/>
    <w:pPr>
      <w:spacing w:before="100" w:beforeAutospacing="1" w:after="100" w:afterAutospacing="1"/>
    </w:pPr>
  </w:style>
  <w:style w:type="character" w:customStyle="1" w:styleId="essbnetworkname">
    <w:name w:val="essb_network_name"/>
    <w:basedOn w:val="Carpredefinitoparagrafo"/>
    <w:rsid w:val="0060773E"/>
  </w:style>
  <w:style w:type="character" w:customStyle="1" w:styleId="h4">
    <w:name w:val="h4"/>
    <w:basedOn w:val="Carpredefinitoparagrafo"/>
    <w:rsid w:val="0060773E"/>
  </w:style>
  <w:style w:type="paragraph" w:customStyle="1" w:styleId="prev">
    <w:name w:val="prev"/>
    <w:basedOn w:val="Normale"/>
    <w:rsid w:val="0060773E"/>
    <w:pPr>
      <w:spacing w:before="100" w:beforeAutospacing="1" w:after="100" w:afterAutospacing="1"/>
    </w:pPr>
  </w:style>
  <w:style w:type="character" w:customStyle="1" w:styleId="h3">
    <w:name w:val="h3"/>
    <w:basedOn w:val="Carpredefinitoparagrafo"/>
    <w:rsid w:val="0060773E"/>
  </w:style>
  <w:style w:type="paragraph" w:customStyle="1" w:styleId="next">
    <w:name w:val="next"/>
    <w:basedOn w:val="Normale"/>
    <w:rsid w:val="0060773E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6077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60773E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e"/>
    <w:rsid w:val="0060773E"/>
    <w:pPr>
      <w:spacing w:before="100" w:beforeAutospacing="1" w:after="100" w:afterAutospacing="1"/>
    </w:pPr>
  </w:style>
  <w:style w:type="paragraph" w:customStyle="1" w:styleId="form-submit">
    <w:name w:val="form-submit"/>
    <w:basedOn w:val="Normale"/>
    <w:rsid w:val="0060773E"/>
    <w:pPr>
      <w:spacing w:before="100" w:beforeAutospacing="1" w:after="100" w:afterAutospacing="1"/>
    </w:p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6077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0773E"/>
    <w:rPr>
      <w:rFonts w:ascii="Arial" w:hAnsi="Arial" w:cs="Arial"/>
      <w:vanish/>
      <w:sz w:val="16"/>
      <w:szCs w:val="16"/>
    </w:rPr>
  </w:style>
  <w:style w:type="paragraph" w:customStyle="1" w:styleId="cta-banner">
    <w:name w:val="cta-banner"/>
    <w:basedOn w:val="Normale"/>
    <w:rsid w:val="0060773E"/>
    <w:pPr>
      <w:spacing w:before="100" w:beforeAutospacing="1" w:after="100" w:afterAutospacing="1"/>
    </w:pPr>
  </w:style>
  <w:style w:type="paragraph" w:customStyle="1" w:styleId="ec-metadata">
    <w:name w:val="ec-metadata"/>
    <w:basedOn w:val="Normale"/>
    <w:rsid w:val="0060773E"/>
    <w:pPr>
      <w:spacing w:before="100" w:beforeAutospacing="1" w:after="100" w:afterAutospacing="1"/>
    </w:pPr>
  </w:style>
  <w:style w:type="character" w:customStyle="1" w:styleId="ec-author">
    <w:name w:val="ec-author"/>
    <w:basedOn w:val="Carpredefinitoparagrafo"/>
    <w:rsid w:val="0060773E"/>
  </w:style>
  <w:style w:type="character" w:customStyle="1" w:styleId="btn">
    <w:name w:val="btn"/>
    <w:basedOn w:val="Carpredefinitoparagrafo"/>
    <w:rsid w:val="0060773E"/>
  </w:style>
  <w:style w:type="paragraph" w:customStyle="1" w:styleId="ec-social">
    <w:name w:val="ec-social"/>
    <w:basedOn w:val="Normale"/>
    <w:rsid w:val="00607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3712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5306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1825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7367160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298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5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2101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237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6288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9D9D9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  <w:divsChild>
                        <w:div w:id="1872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853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4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02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7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65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91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0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49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5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5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4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78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8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21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59042">
                      <w:marLeft w:val="0"/>
                      <w:marRight w:val="2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4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7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72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1566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564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399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027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208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7819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146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251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8619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53511870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2" w:space="0" w:color="AAAAAA"/>
                            <w:bottom w:val="single" w:sz="2" w:space="0" w:color="AAAAAA"/>
                            <w:right w:val="single" w:sz="2" w:space="0" w:color="AAAAAA"/>
                          </w:divBdr>
                          <w:divsChild>
                            <w:div w:id="18235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5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</w:divsChild>
            </w:div>
          </w:divsChild>
        </w:div>
        <w:div w:id="653534760">
          <w:marLeft w:val="0"/>
          <w:marRight w:val="0"/>
          <w:marTop w:val="0"/>
          <w:marBottom w:val="0"/>
          <w:divBdr>
            <w:top w:val="single" w:sz="6" w:space="0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47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17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.ecevolution.it/loginServlet?encParam=5A609037C3FD53161B3A7340F3BA77D98EA782AB51A64B3E68FF6FAF02F55432B0535E17DFAF40BF236911DD26AA7DCC8B92A6665BD92AEB02C37BF938C90916DFA3E10577000BE4CBD6263860F516EEB2C00123F36A734870877DD3977428F403602A5DD79EA0B098890DBE4CAA759E28BB9E692D940A4E56E8B6004F515029EAE377906A90FE0B56F84E8C0E6BACC096A7D1F99EABCA5027E8EB27FC8195C4393AA9ED45AB6BBEE5A419B8785F06911ED46F1929A6BE110BCD621E494075C6F989D8BA2005C91E01D5BE4E3650C6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e.ecevolution.it/loginServlet?encParam=5A609037C3FD53161B3A7340F3BA77D95438BA32AAB9A2575377794AF730AD449F87BF15FBC6F8ED2757D913E8110380CFF762773A76947E6CBE2B3103EC91CAD6F27F79EE1E78012D01A5AB16905B8D60B32C81598D87A8715D39EA461FB3C2DD0DB609D0A73146B9CA95B63409D6683C8749E17BF4AB712AA97A157172723D3A8F1EB4F75611DB7627F84E28C163441C31CBDFB7E89E0095CC91CA06F887F87D6DBFD2C39611EE986A145425ACC74CB62C9508B3DBBB50551017DBDBCCADBE1E01EA9FAA8FD00FFE7218432D1EE6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e.ecevolution.it/loginServlet?encParam=5A609037C3FD53161B3A7340F3BA77D9B35ADA75A68984EE7D1B50DA4BFC4DB55AFD206E494A2E4456A5CBF543171ED2AB4E3DF8BF066F6EB0F569DA009B16868F234841C605C736BBC247EB43F485A185E9EE5E41419571EA16BE41904699C039FB4BE92CD1F1D34FA998C2D593DBC4A4C8B48C0B81463C8E4022EB897C631CAE1F4A97839E05848A13283081CF34F23E96B19272F2B7E5D28AAD8BFD4E4D6F863C5FFAB58B051018BEA3AA074E948AF57178C0541C76692683B7EC6701C733DA4ACD36DD15C64C4699ACFC37031C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e.ecevolution.it/loginServlet?encParam=5A609037C3FD53161B3A7340F3BA77D90D72417C404A99AE64933579433E4CEA06284B401722F8BC8EDAB34E910941B28FFF95A3F7358C1F43492AA91D236F6A7DB5F1941A2374A2ABF292438DAC648A6A6E1E2229550368EF125D3153EE2087C5331CE5213C35A135C122033F915E3B54A2051A275B296E8ABD4CCD94B578F706AAAA66E5EC5DEA8C5547F7B2C9E76519DE4C5F57D683092DCC0DF25A1DB5BA1DD135F0C33DF9E2A1C4FF80BFF2B2D3882D32E29F4B0CC5BC2AB39315A8C45FE1C28A695FF5EB8F6E9AC8EAABD328C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2021-10-21T08:59:00Z</dcterms:modified>
</cp:coreProperties>
</file>